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BB6EB0" w14:textId="75D6BC3E" w:rsidR="00A94DDC" w:rsidRDefault="006F7F0E" w:rsidP="00A94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9" w:hanging="189"/>
      </w:pPr>
      <w:r w:rsidRPr="00504366">
        <w:rPr>
          <w:noProof/>
          <w:sz w:val="28"/>
          <w:szCs w:val="28"/>
          <w:lang w:val="en-NZ" w:eastAsia="en-NZ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allowOverlap="1" wp14:anchorId="45D63C8F" wp14:editId="24B2DF0D">
                <wp:simplePos x="0" y="0"/>
                <wp:positionH relativeFrom="page">
                  <wp:posOffset>723265</wp:posOffset>
                </wp:positionH>
                <wp:positionV relativeFrom="page">
                  <wp:posOffset>647700</wp:posOffset>
                </wp:positionV>
                <wp:extent cx="6115050" cy="906780"/>
                <wp:effectExtent l="0" t="0" r="0" b="7620"/>
                <wp:wrapSquare wrapText="bothSides" distT="114300" distB="114300" distL="114300" distR="114300"/>
                <wp:docPr id="1073741827" name="officeArt object" descr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906780"/>
                          <a:chOff x="-1" y="-69850"/>
                          <a:chExt cx="6115059" cy="906787"/>
                        </a:xfrm>
                      </wpg:grpSpPr>
                      <wps:wsp>
                        <wps:cNvPr id="1073741825" name="Rectangle 199"/>
                        <wps:cNvSpPr/>
                        <wps:spPr>
                          <a:xfrm>
                            <a:off x="-1" y="-69850"/>
                            <a:ext cx="6115059" cy="340108"/>
                          </a:xfrm>
                          <a:prstGeom prst="rect">
                            <a:avLst/>
                          </a:prstGeom>
                          <a:solidFill>
                            <a:srgbClr val="11AD9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898487" w14:textId="21D289BB" w:rsidR="00550546" w:rsidRPr="006F7F0E" w:rsidRDefault="00A94DDC">
                              <w:pPr>
                                <w:pStyle w:val="Label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sz w:val="28"/>
                                  <w:szCs w:val="28"/>
                                  <w:lang w:val="en-NZ"/>
                                </w:rPr>
                              </w:pPr>
                              <w:r w:rsidRPr="006F7F0E">
                                <w:rPr>
                                  <w:color w:val="FFFFFF"/>
                                  <w:sz w:val="28"/>
                                  <w:szCs w:val="28"/>
                                  <w:u w:color="FFFFFF"/>
                                  <w:lang w:val="en-NZ"/>
                                </w:rPr>
                                <w:t xml:space="preserve">September 2023 </w:t>
                              </w:r>
                              <w:r w:rsidR="00641933">
                                <w:rPr>
                                  <w:color w:val="FFFFFF"/>
                                  <w:sz w:val="28"/>
                                  <w:szCs w:val="28"/>
                                  <w:u w:color="FFFFFF"/>
                                  <w:lang w:val="en-NZ"/>
                                </w:rPr>
                                <w:t>– General Sector Update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6" name="Text Box 200"/>
                        <wps:cNvSpPr txBox="1"/>
                        <wps:spPr>
                          <a:xfrm>
                            <a:off x="91439" y="372319"/>
                            <a:ext cx="5932181" cy="4646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16C020" w14:textId="77777777" w:rsidR="00550546" w:rsidRDefault="002D315E">
                              <w:pPr>
                                <w:pStyle w:val="Header"/>
                                <w:jc w:val="center"/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sz w:val="32"/>
                                  <w:szCs w:val="32"/>
                                </w:rPr>
                                <w:t>Care and Support Workers Pay Equity Claim</w:t>
                              </w:r>
                            </w:p>
                            <w:p w14:paraId="19D5526F" w14:textId="7EE2FB78" w:rsidR="00550546" w:rsidRDefault="002D315E">
                              <w:pPr>
                                <w:pStyle w:val="Header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Stakeholder Update #</w:t>
                              </w:r>
                              <w:r w:rsidR="00A94DDC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D63C8F" id="officeArt object" o:spid="_x0000_s1026" alt="Group 198" style="position:absolute;left:0;text-align:left;margin-left:56.95pt;margin-top:51pt;width:481.5pt;height:71.4pt;z-index:251659264;mso-wrap-distance-top:9pt;mso-wrap-distance-bottom:9pt;mso-position-horizontal-relative:page;mso-position-vertical-relative:page;mso-height-relative:margin" coordorigin=",-698" coordsize="61150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">
                <v:rect id="Rectangle 199" o:spid="_x0000_s1027" style="position:absolute;top:-698;width:61150;height: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" fillcolor="#11ad9b" stroked="f" strokeweight="1pt">
                  <v:stroke miterlimit="4"/>
                  <v:textbox inset="4pt,4pt,4pt,4pt">
                    <w:txbxContent>
                      <w:p w14:paraId="24898487" w14:textId="21D289BB" w:rsidR="00550546" w:rsidRPr="006F7F0E" w:rsidRDefault="00A94DDC">
                        <w:pPr>
                          <w:pStyle w:val="Label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sz w:val="28"/>
                            <w:szCs w:val="28"/>
                            <w:lang w:val="en-NZ"/>
                          </w:rPr>
                        </w:pPr>
                        <w:r w:rsidRPr="006F7F0E">
                          <w:rPr>
                            <w:color w:val="FFFFFF"/>
                            <w:sz w:val="28"/>
                            <w:szCs w:val="28"/>
                            <w:u w:color="FFFFFF"/>
                            <w:lang w:val="en-NZ"/>
                          </w:rPr>
                          <w:t xml:space="preserve">September 2023 </w:t>
                        </w:r>
                        <w:r w:rsidR="00641933">
                          <w:rPr>
                            <w:color w:val="FFFFFF"/>
                            <w:sz w:val="28"/>
                            <w:szCs w:val="28"/>
                            <w:u w:color="FFFFFF"/>
                            <w:lang w:val="en-NZ"/>
                          </w:rPr>
                          <w:t>– General Sector Update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914;top:3723;width:59322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E16C020" w14:textId="77777777" w:rsidR="00550546" w:rsidRDefault="002D315E">
                        <w:pPr>
                          <w:pStyle w:val="Header"/>
                          <w:jc w:val="center"/>
                          <w:rPr>
                            <w:rFonts w:ascii="Candara" w:eastAsia="Candara" w:hAnsi="Candara" w:cs="Candar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z w:val="32"/>
                            <w:szCs w:val="32"/>
                          </w:rPr>
                          <w:t>Care and Support Workers Pay Equity Claim</w:t>
                        </w:r>
                      </w:p>
                      <w:p w14:paraId="19D5526F" w14:textId="7EE2FB78" w:rsidR="00550546" w:rsidRDefault="002D315E">
                        <w:pPr>
                          <w:pStyle w:val="Header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Stakeholder Update #</w:t>
                        </w:r>
                        <w:r w:rsidR="00A94DDC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27ECEBD4" w14:textId="2E8F197B" w:rsidR="00504366" w:rsidRPr="00504366" w:rsidRDefault="008B62BA" w:rsidP="00A94DD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 following is</w:t>
      </w:r>
      <w:r w:rsid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our latest </w:t>
      </w: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update on the Pay Equity Claim for Care and Support Workers.  Things have been very fluid this past month</w:t>
      </w:r>
      <w:r w:rsidR="00504366"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so we have provided the latest status as </w:t>
      </w:r>
      <w:r w:rsidR="007B1B38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at</w:t>
      </w:r>
      <w:r w:rsidR="00641933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4</w:t>
      </w:r>
      <w:r w:rsidR="00504366"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September 2023. </w:t>
      </w:r>
      <w:r w:rsidR="00641933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8FFC65A" w14:textId="77777777" w:rsidR="00504366" w:rsidRDefault="00504366" w:rsidP="00A94DD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ED646FC" w14:textId="17BF9BD6" w:rsidR="00A94DDC" w:rsidRDefault="00A94DDC" w:rsidP="00A94DDC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Discussions are continuing between the unions and employers in the current claim, and </w:t>
      </w:r>
      <w:r w:rsidR="007B1B38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with </w:t>
      </w: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government representatives. These are currently </w:t>
      </w:r>
      <w:r w:rsidR="00B55295"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focused</w:t>
      </w: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on the funding required to enable a potential pay equity settlement</w:t>
      </w:r>
      <w:r w:rsidR="007B1B38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to be reached and the </w:t>
      </w: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potential timing</w:t>
      </w:r>
      <w:r w:rsidR="007B1B38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for this</w:t>
      </w:r>
      <w:r w:rsidRPr="00504366"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9FE3927" w14:textId="77777777" w:rsidR="00504366" w:rsidRPr="00504366" w:rsidRDefault="00504366" w:rsidP="005043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189"/>
        <w:rPr>
          <w:rFonts w:ascii="Calibri" w:hAnsi="Calibri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D6DFFDA" w14:textId="77777777" w:rsidR="00A94DDC" w:rsidRDefault="00A94DDC" w:rsidP="00A94DD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The ability to progress to formal bargaining currently hinges on written confirmation from funders that sufficient funding is set aside to pay for a potential pay equity settlement that could result from bargaining.</w:t>
      </w:r>
    </w:p>
    <w:p w14:paraId="783B3AA7" w14:textId="77777777" w:rsidR="00504366" w:rsidRPr="00A94DDC" w:rsidRDefault="00504366" w:rsidP="005043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</w:p>
    <w:p w14:paraId="4FFCFA8D" w14:textId="77777777" w:rsidR="00A94DDC" w:rsidRDefault="00A94DDC" w:rsidP="00A94DD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Employers and unions have agreed on the key elements of an in-principle remuneration model to deliver a pay equity settlement. They have provided the model to funders, along with indicative costings. The parties are now waiting for a response from funders.</w:t>
      </w:r>
    </w:p>
    <w:p w14:paraId="1C4DB042" w14:textId="77777777" w:rsidR="00504366" w:rsidRPr="00A94DDC" w:rsidRDefault="00504366" w:rsidP="005043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</w:p>
    <w:p w14:paraId="3724E171" w14:textId="19B960A0" w:rsidR="00A94DDC" w:rsidRDefault="00A94DDC" w:rsidP="00A94DD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Formal bargaining can only proceed after confirmation that the Government has set aside the amount of funding required to pay for a potential pay equity settlement. </w:t>
      </w:r>
      <w:r w:rsidR="007B1B38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While we are advocating hard for this to be progressed, it does mean that there is increasing uncertainty as to whether bargaining can formally proceed </w:t>
      </w:r>
      <w:r w:rsidR="00641933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in the first half of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September as </w:t>
      </w:r>
      <w:r w:rsidR="00641933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we had 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previously hoped.</w:t>
      </w:r>
    </w:p>
    <w:p w14:paraId="71E1FEC5" w14:textId="77777777" w:rsidR="00504366" w:rsidRPr="00A94DDC" w:rsidRDefault="00504366" w:rsidP="005043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</w:p>
    <w:p w14:paraId="1CE98D4F" w14:textId="24292F12" w:rsidR="00A94DDC" w:rsidRDefault="00A94DDC" w:rsidP="00A94DD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The unions and employers are continuing to meet regularly to continue </w:t>
      </w:r>
      <w:r w:rsidRPr="00641933">
        <w:rPr>
          <w:rFonts w:ascii="Calibri" w:hAnsi="Calibri" w:cs="Arial Unicode MS"/>
          <w:i/>
          <w:iCs/>
          <w:color w:val="000000"/>
          <w:sz w:val="28"/>
          <w:szCs w:val="28"/>
          <w:u w:color="000000"/>
          <w:bdr w:val="none" w:sz="0" w:space="0" w:color="auto"/>
          <w:lang w:eastAsia="en-NZ"/>
        </w:rPr>
        <w:t>pre-bargaining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(currently two days per week). The parties hope to be at a stage where any issues have been resolved through pre-bargaining to expedite</w:t>
      </w:r>
      <w:r w:rsidR="00641933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the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formal bargaining</w:t>
      </w:r>
      <w:r w:rsidR="00641933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, 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if</w:t>
      </w:r>
      <w:r w:rsidR="00C42688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, 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and when that can proceed.</w:t>
      </w:r>
    </w:p>
    <w:p w14:paraId="67831C83" w14:textId="77777777" w:rsidR="00504366" w:rsidRPr="00A94DDC" w:rsidRDefault="00504366" w:rsidP="005043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</w:p>
    <w:p w14:paraId="1C0B7D30" w14:textId="77777777" w:rsidR="00641933" w:rsidRPr="00641933" w:rsidRDefault="00A94DDC" w:rsidP="00AB0B1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lastRenderedPageBreak/>
        <w:t>It is still anticipated that if</w:t>
      </w:r>
      <w:r w:rsidR="00504366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, 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and when</w:t>
      </w:r>
      <w:r w:rsidR="00504366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,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a pay equity settlement is reached, the </w:t>
      </w:r>
      <w:r w:rsidR="00504366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G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overnment will look at extending benefits of any settlement to workers performing the same work in the wider care and support sector.  </w:t>
      </w:r>
    </w:p>
    <w:p w14:paraId="7FCE6C2E" w14:textId="77777777" w:rsidR="00641933" w:rsidRDefault="00641933" w:rsidP="00641933">
      <w:pPr>
        <w:pStyle w:val="ListParagraph"/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</w:pPr>
    </w:p>
    <w:p w14:paraId="46DEE0B2" w14:textId="56191A1C" w:rsidR="00A94DDC" w:rsidRPr="00A94DDC" w:rsidRDefault="00A94DDC" w:rsidP="00AB0B1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The</w:t>
      </w:r>
      <w:r w:rsidR="00AB0B1D" w:rsidRPr="00AB0B1D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</w:t>
      </w:r>
      <w:r w:rsidR="00504366" w:rsidRPr="00AB0B1D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G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overnment has given positive signals around the potential extension of any pay equity settlement</w:t>
      </w:r>
      <w:r w:rsidRPr="00A94DDC">
        <w:rPr>
          <w:rFonts w:ascii="Calibri" w:hAnsi="Calibri" w:cs="Arial Unicode MS"/>
          <w:color w:val="000000"/>
          <w:u w:color="000000"/>
          <w:bdr w:val="none" w:sz="0" w:space="0" w:color="auto"/>
          <w:lang w:eastAsia="en-NZ"/>
        </w:rPr>
        <w:t xml:space="preserve">. </w:t>
      </w:r>
    </w:p>
    <w:p w14:paraId="6F5EF410" w14:textId="77777777" w:rsidR="00A94DDC" w:rsidRPr="00A94DDC" w:rsidRDefault="00A94DDC" w:rsidP="00A94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alibri" w:eastAsia="Times New Roman" w:hAnsi="Calibri" w:cs="Calibri"/>
          <w:color w:val="000000"/>
          <w:u w:color="000000"/>
          <w:bdr w:val="none" w:sz="0" w:space="0" w:color="auto"/>
          <w:lang w:eastAsia="en-NZ"/>
        </w:rPr>
      </w:pPr>
    </w:p>
    <w:p w14:paraId="28C5FD21" w14:textId="5E93BA3A" w:rsidR="00A94DDC" w:rsidRPr="00A94DDC" w:rsidRDefault="00A94DDC" w:rsidP="00A94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alibri" w:eastAsia="Times New Roman" w:hAnsi="Calibri" w:cs="Calibri"/>
          <w:color w:val="000000"/>
          <w:sz w:val="28"/>
          <w:szCs w:val="28"/>
          <w:u w:color="000000"/>
          <w:bdr w:val="none" w:sz="0" w:space="0" w:color="auto"/>
          <w:lang w:eastAsia="en-NZ"/>
        </w:rPr>
      </w:pP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For more information, please refer to the FAQ</w:t>
      </w:r>
      <w:r w:rsidR="00AB0B1D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s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on</w:t>
      </w:r>
      <w:r w:rsidR="00AB0B1D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our Pay Equity page of 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our website at </w:t>
      </w:r>
      <w:hyperlink r:id="rId9" w:history="1">
        <w:r w:rsidR="00B55295" w:rsidRPr="00BC09F9">
          <w:rPr>
            <w:rStyle w:val="Hyperlink"/>
            <w:rFonts w:ascii="Calibri" w:hAnsi="Calibri" w:cs="Arial Unicode MS"/>
            <w:sz w:val="28"/>
            <w:szCs w:val="28"/>
            <w:bdr w:val="none" w:sz="0" w:space="0" w:color="auto"/>
            <w:lang w:eastAsia="en-NZ"/>
          </w:rPr>
          <w:t>www.nzdsn.org.nz</w:t>
        </w:r>
      </w:hyperlink>
      <w:r w:rsidR="00AB0B1D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which </w:t>
      </w:r>
      <w:r w:rsidR="00AB0B1D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>are</w:t>
      </w:r>
      <w:r w:rsidRPr="00A94DDC">
        <w:rPr>
          <w:rFonts w:ascii="Calibri" w:hAnsi="Calibri" w:cs="Arial Unicode MS"/>
          <w:color w:val="000000"/>
          <w:sz w:val="28"/>
          <w:szCs w:val="28"/>
          <w:u w:color="000000"/>
          <w:bdr w:val="none" w:sz="0" w:space="0" w:color="auto"/>
          <w:lang w:eastAsia="en-NZ"/>
        </w:rPr>
        <w:t xml:space="preserve"> being regularly updated. </w:t>
      </w:r>
    </w:p>
    <w:p w14:paraId="625560D9" w14:textId="4E8CA372" w:rsidR="00550546" w:rsidRDefault="00550546">
      <w:pPr>
        <w:pStyle w:val="BodyA"/>
        <w:rPr>
          <w:sz w:val="24"/>
          <w:szCs w:val="24"/>
        </w:rPr>
      </w:pPr>
    </w:p>
    <w:sectPr w:rsidR="00550546" w:rsidSect="00DD3198">
      <w:footerReference w:type="default" r:id="rId10"/>
      <w:pgSz w:w="11900" w:h="16840"/>
      <w:pgMar w:top="1134" w:right="1134" w:bottom="709" w:left="1134" w:header="737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EBD90" w14:textId="77777777" w:rsidR="006671C6" w:rsidRDefault="006671C6">
      <w:r>
        <w:separator/>
      </w:r>
    </w:p>
  </w:endnote>
  <w:endnote w:type="continuationSeparator" w:id="0">
    <w:p w14:paraId="5331A159" w14:textId="77777777" w:rsidR="006671C6" w:rsidRDefault="0066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FB2F" w14:textId="108D368A" w:rsidR="00550546" w:rsidRDefault="00AB0B1D">
    <w:pPr>
      <w:pStyle w:val="Footer"/>
    </w:pPr>
    <w:r>
      <w:rPr>
        <w:rFonts w:ascii="Calibri" w:hAnsi="Calibri"/>
        <w:sz w:val="20"/>
        <w:szCs w:val="20"/>
      </w:rPr>
      <w:t xml:space="preserve">General </w:t>
    </w:r>
    <w:r w:rsidR="002D315E">
      <w:rPr>
        <w:rFonts w:ascii="Calibri" w:hAnsi="Calibri"/>
        <w:sz w:val="20"/>
        <w:szCs w:val="20"/>
      </w:rPr>
      <w:t xml:space="preserve">Sector update </w:t>
    </w:r>
    <w:r>
      <w:rPr>
        <w:rFonts w:ascii="Calibri" w:hAnsi="Calibri"/>
        <w:sz w:val="20"/>
        <w:szCs w:val="20"/>
      </w:rPr>
      <w:t xml:space="preserve">September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B93FB" w14:textId="77777777" w:rsidR="006671C6" w:rsidRDefault="006671C6">
      <w:r>
        <w:separator/>
      </w:r>
    </w:p>
  </w:footnote>
  <w:footnote w:type="continuationSeparator" w:id="0">
    <w:p w14:paraId="5CE9D53E" w14:textId="77777777" w:rsidR="006671C6" w:rsidRDefault="0066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3C21"/>
    <w:multiLevelType w:val="hybridMultilevel"/>
    <w:tmpl w:val="620CBFBA"/>
    <w:numStyleLink w:val="Bullets"/>
  </w:abstractNum>
  <w:abstractNum w:abstractNumId="1" w15:restartNumberingAfterBreak="0">
    <w:nsid w:val="3D343A4C"/>
    <w:multiLevelType w:val="hybridMultilevel"/>
    <w:tmpl w:val="620CBFBA"/>
    <w:styleLink w:val="Bullets"/>
    <w:lvl w:ilvl="0" w:tplc="D498634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6E58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8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C14C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430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0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6F98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6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8E1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2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EF33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8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47E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4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0EC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0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3B2301"/>
    <w:multiLevelType w:val="hybridMultilevel"/>
    <w:tmpl w:val="620CBFBA"/>
    <w:numStyleLink w:val="Bullets"/>
  </w:abstractNum>
  <w:abstractNum w:abstractNumId="3" w15:restartNumberingAfterBreak="0">
    <w:nsid w:val="6BCA79A4"/>
    <w:multiLevelType w:val="hybridMultilevel"/>
    <w:tmpl w:val="D70C6CAA"/>
    <w:numStyleLink w:val="ImportedStyle1"/>
  </w:abstractNum>
  <w:abstractNum w:abstractNumId="4" w15:restartNumberingAfterBreak="0">
    <w:nsid w:val="71C2664D"/>
    <w:multiLevelType w:val="hybridMultilevel"/>
    <w:tmpl w:val="D70C6CAA"/>
    <w:styleLink w:val="ImportedStyle1"/>
    <w:lvl w:ilvl="0" w:tplc="3B405448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EFDA2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0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CE8A4">
      <w:start w:val="1"/>
      <w:numFmt w:val="bullet"/>
      <w:lvlText w:val="▪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726" w:hanging="2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EFBDE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49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E608C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21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C0E2A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8AC2C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511" w:hanging="1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EC008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37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0742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609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46"/>
    <w:rsid w:val="002C6646"/>
    <w:rsid w:val="002D315E"/>
    <w:rsid w:val="00504366"/>
    <w:rsid w:val="00550546"/>
    <w:rsid w:val="00551330"/>
    <w:rsid w:val="0059355B"/>
    <w:rsid w:val="005D0D6A"/>
    <w:rsid w:val="00641933"/>
    <w:rsid w:val="006671C6"/>
    <w:rsid w:val="00676170"/>
    <w:rsid w:val="006F7F0E"/>
    <w:rsid w:val="0075037D"/>
    <w:rsid w:val="00784C87"/>
    <w:rsid w:val="00796F78"/>
    <w:rsid w:val="007B1B38"/>
    <w:rsid w:val="00823E4D"/>
    <w:rsid w:val="008B62BA"/>
    <w:rsid w:val="008D1556"/>
    <w:rsid w:val="008F1B2B"/>
    <w:rsid w:val="009F31B9"/>
    <w:rsid w:val="00A94DDC"/>
    <w:rsid w:val="00AB0B1D"/>
    <w:rsid w:val="00AC2D12"/>
    <w:rsid w:val="00B55295"/>
    <w:rsid w:val="00B90631"/>
    <w:rsid w:val="00C00009"/>
    <w:rsid w:val="00C42688"/>
    <w:rsid w:val="00C61F9F"/>
    <w:rsid w:val="00CD5090"/>
    <w:rsid w:val="00DD3198"/>
    <w:rsid w:val="00D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95621"/>
  <w15:docId w15:val="{A8B2A720-03AF-4FFC-A489-ED007ABD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keepNext/>
      <w:keepLines/>
      <w:spacing w:before="240"/>
      <w:outlineLvl w:val="0"/>
    </w:pPr>
    <w:rPr>
      <w:rFonts w:ascii="Candara" w:eastAsia="Candara" w:hAnsi="Candara" w:cs="Candara"/>
      <w:color w:val="005482"/>
      <w:sz w:val="24"/>
      <w:szCs w:val="24"/>
      <w:u w:color="00548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Revision">
    <w:name w:val="Revision"/>
    <w:hidden/>
    <w:uiPriority w:val="99"/>
    <w:semiHidden/>
    <w:rsid w:val="0055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3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zdsn.org.n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0FABD2E2AEE4DAF9FBB1D073FCAAD" ma:contentTypeVersion="11" ma:contentTypeDescription="Create a new document." ma:contentTypeScope="" ma:versionID="77117696ad46f4538ef61f4fd4d1298e">
  <xsd:schema xmlns:xsd="http://www.w3.org/2001/XMLSchema" xmlns:xs="http://www.w3.org/2001/XMLSchema" xmlns:p="http://schemas.microsoft.com/office/2006/metadata/properties" xmlns:ns2="72cec0c5-df52-408b-9384-218158e50d4f" xmlns:ns3="2c017fbc-191c-4ba0-9082-3525e920fa31" targetNamespace="http://schemas.microsoft.com/office/2006/metadata/properties" ma:root="true" ma:fieldsID="909f75ea244011675413e1f875c71433" ns2:_="" ns3:_="">
    <xsd:import namespace="72cec0c5-df52-408b-9384-218158e50d4f"/>
    <xsd:import namespace="2c017fbc-191c-4ba0-9082-3525e920f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c0c5-df52-408b-9384-218158e50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4943656-df53-441e-af95-95960e92d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7fbc-191c-4ba0-9082-3525e920fa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a21e1c-dd80-4a92-9c35-7ce22ecfc291}" ma:internalName="TaxCatchAll" ma:showField="CatchAllData" ma:web="2c017fbc-191c-4ba0-9082-3525e920f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2B4C-3325-4686-9B26-78849951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ec0c5-df52-408b-9384-218158e50d4f"/>
    <ds:schemaRef ds:uri="2c017fbc-191c-4ba0-9082-3525e920f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A4822-15FC-48BB-B7C3-99857722C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Pilott</dc:creator>
  <cp:lastModifiedBy>Admin Nzdsn</cp:lastModifiedBy>
  <cp:revision>2</cp:revision>
  <dcterms:created xsi:type="dcterms:W3CDTF">2023-09-04T01:20:00Z</dcterms:created>
  <dcterms:modified xsi:type="dcterms:W3CDTF">2023-09-04T01:20:00Z</dcterms:modified>
</cp:coreProperties>
</file>